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58D4" w14:textId="670CADB2" w:rsidR="00470729" w:rsidRPr="00470729" w:rsidRDefault="00470729" w:rsidP="00470729">
      <w:pPr>
        <w:jc w:val="center"/>
        <w:rPr>
          <w:b/>
          <w:bCs/>
          <w:sz w:val="28"/>
          <w:szCs w:val="28"/>
        </w:rPr>
      </w:pPr>
      <w:r w:rsidRPr="00470729">
        <w:rPr>
          <w:b/>
          <w:bCs/>
          <w:sz w:val="28"/>
          <w:szCs w:val="28"/>
        </w:rPr>
        <w:t>Informacje o IPCEI CAM</w:t>
      </w:r>
    </w:p>
    <w:p w14:paraId="4D23BC05" w14:textId="6544D2AF" w:rsidR="00470729" w:rsidRDefault="00470729" w:rsidP="00470729">
      <w:pPr>
        <w:jc w:val="both"/>
      </w:pPr>
      <w:r w:rsidRPr="001209D5">
        <w:t xml:space="preserve">IPCEI CAM to zidentyfikowany przez </w:t>
      </w:r>
      <w:r>
        <w:t xml:space="preserve">Polskę oraz inne </w:t>
      </w:r>
      <w:r w:rsidRPr="001209D5">
        <w:t xml:space="preserve">kraje członkowskie obszar, który dotyczy rozwoju </w:t>
      </w:r>
      <w:r w:rsidRPr="001209D5">
        <w:rPr>
          <w:b/>
          <w:bCs/>
        </w:rPr>
        <w:t>zaawansowanych materiałów o obiegu zamkniętym dla czystych technologii</w:t>
      </w:r>
      <w:r w:rsidRPr="001209D5">
        <w:t xml:space="preserve">. Tworzenie tego typu materiałów jest niezbędne do zabezpieczenia strategicznej autonomii UE </w:t>
      </w:r>
      <w:r>
        <w:br/>
      </w:r>
      <w:r w:rsidRPr="001209D5">
        <w:t xml:space="preserve">i napędzania zrównoważonych innowacji w energetyce, mobilności i elektronice. Zależność Europy od importowanych surowców (w szczególności krytycznych), w połączeniu z wysokimi kosztami prac badawczo-rozwojowych i długimi harmonogramami komercjalizacji, stwarza znaczne bariery dla rozwoju odpornej gospodarki o obiegu zamkniętym. </w:t>
      </w:r>
    </w:p>
    <w:p w14:paraId="6A905F2D" w14:textId="77777777" w:rsidR="00470729" w:rsidRPr="003D6462" w:rsidRDefault="00470729" w:rsidP="00470729">
      <w:pPr>
        <w:jc w:val="both"/>
        <w:rPr>
          <w:b/>
          <w:bCs/>
          <w:lang w:val="en-GB"/>
        </w:rPr>
      </w:pPr>
      <w:r w:rsidRPr="00933B93">
        <w:rPr>
          <w:b/>
          <w:bCs/>
          <w:lang w:val="en-GB"/>
        </w:rPr>
        <w:t>Cele IPCEI CAM</w:t>
      </w:r>
      <w:r w:rsidRPr="003D6462">
        <w:rPr>
          <w:b/>
          <w:bCs/>
          <w:lang w:val="en-GB"/>
        </w:rPr>
        <w:t xml:space="preserve">: </w:t>
      </w:r>
    </w:p>
    <w:p w14:paraId="3FA04466" w14:textId="77777777" w:rsidR="00470729" w:rsidRPr="003D6462" w:rsidRDefault="00470729" w:rsidP="00470729">
      <w:pPr>
        <w:numPr>
          <w:ilvl w:val="0"/>
          <w:numId w:val="1"/>
        </w:numPr>
        <w:jc w:val="both"/>
      </w:pPr>
      <w:r w:rsidRPr="00B40C4D">
        <w:rPr>
          <w:b/>
          <w:bCs/>
        </w:rPr>
        <w:t>Cyrkularność i zrównoważony rozwój</w:t>
      </w:r>
      <w:r w:rsidRPr="00B40C4D">
        <w:t xml:space="preserve">: Zapewnienie, że zaawansowane materiały przyczyniają się do tworzenia cyrkularnego łańcucha wartości.  Cyrkularność w IPCEI CAM definiuje się jako systematyczne stosowanie zasad 6R w celu zapewnienia, że materiały </w:t>
      </w:r>
      <w:r>
        <w:br/>
      </w:r>
      <w:r w:rsidRPr="00B40C4D">
        <w:t xml:space="preserve">i technologie są opracowywane, wykorzystywane i odzyskiwane w sposób maksymalizujący efektywność wykorzystania zasobów, minimalizujący ilość odpadów </w:t>
      </w:r>
      <w:r>
        <w:br/>
      </w:r>
      <w:r w:rsidRPr="00B40C4D">
        <w:t>i zamykający obiegi materiałów.</w:t>
      </w:r>
      <w:r w:rsidRPr="003D6462">
        <w:t xml:space="preserve">. </w:t>
      </w:r>
    </w:p>
    <w:p w14:paraId="026CCAFC" w14:textId="77777777" w:rsidR="00470729" w:rsidRPr="003D6462" w:rsidRDefault="00470729" w:rsidP="00470729">
      <w:pPr>
        <w:numPr>
          <w:ilvl w:val="0"/>
          <w:numId w:val="1"/>
        </w:numPr>
        <w:jc w:val="both"/>
      </w:pPr>
      <w:r w:rsidRPr="00B40C4D">
        <w:rPr>
          <w:b/>
          <w:bCs/>
        </w:rPr>
        <w:t xml:space="preserve">Strategiczna autonomia i konkurencyjność: </w:t>
      </w:r>
      <w:r w:rsidRPr="00B40C4D">
        <w:t xml:space="preserve">zmniejszenie zależności Europy od surowców krytycznych spoza UE poprzez opracowanie alternatywnych materiałów </w:t>
      </w:r>
      <w:r>
        <w:br/>
      </w:r>
      <w:r w:rsidRPr="00B40C4D">
        <w:t>i rozwiązań opartych na obiegu zamkniętym dla kluczowych sektorów przemysłowych</w:t>
      </w:r>
      <w:r w:rsidRPr="003D6462">
        <w:t>.</w:t>
      </w:r>
    </w:p>
    <w:p w14:paraId="22B3D56E" w14:textId="77777777" w:rsidR="00470729" w:rsidRPr="003D6462" w:rsidRDefault="00470729" w:rsidP="00470729">
      <w:pPr>
        <w:numPr>
          <w:ilvl w:val="0"/>
          <w:numId w:val="1"/>
        </w:numPr>
        <w:jc w:val="both"/>
      </w:pPr>
      <w:r w:rsidRPr="00B40C4D">
        <w:rPr>
          <w:b/>
          <w:bCs/>
        </w:rPr>
        <w:t>Innowacje i wdrażanie na rynek</w:t>
      </w:r>
      <w:r w:rsidRPr="00B40C4D">
        <w:t>: Wspieranie najnowocześniejszych badań i pierwszego wdrożenia przemysłowego (FID) innowacyjnych materiałów i procesów produkcyjnych, które poprawiają wydajność produktów i ich cykliczność.</w:t>
      </w:r>
    </w:p>
    <w:p w14:paraId="680F930F" w14:textId="77777777" w:rsidR="00470729" w:rsidRPr="003D6462" w:rsidRDefault="00470729" w:rsidP="00470729">
      <w:pPr>
        <w:numPr>
          <w:ilvl w:val="0"/>
          <w:numId w:val="1"/>
        </w:numPr>
        <w:jc w:val="both"/>
      </w:pPr>
      <w:r w:rsidRPr="00B40C4D">
        <w:rPr>
          <w:b/>
          <w:bCs/>
        </w:rPr>
        <w:t>Integracja łańcucha wartości:</w:t>
      </w:r>
      <w:r w:rsidRPr="00B40C4D">
        <w:t xml:space="preserve"> </w:t>
      </w:r>
      <w:r>
        <w:t>W</w:t>
      </w:r>
      <w:r w:rsidRPr="00B40C4D">
        <w:t>zmocnienie współpracy między państwami członkowskimi UE w celu stworzenia odpornych, dobrze zintegrowanych i cyrkularnych łańcuchów wartości dla zaawansowanych materiałów</w:t>
      </w:r>
      <w:r w:rsidRPr="003D6462">
        <w:t>.</w:t>
      </w:r>
    </w:p>
    <w:p w14:paraId="38899CD6" w14:textId="77777777" w:rsidR="00470729" w:rsidRPr="00933B93" w:rsidRDefault="00470729" w:rsidP="00470729">
      <w:pPr>
        <w:jc w:val="both"/>
        <w:rPr>
          <w:b/>
          <w:bCs/>
        </w:rPr>
      </w:pPr>
      <w:r w:rsidRPr="00933B93">
        <w:rPr>
          <w:b/>
          <w:bCs/>
        </w:rPr>
        <w:t>Zakres IPCEI CAM:</w:t>
      </w:r>
    </w:p>
    <w:p w14:paraId="12529749" w14:textId="77777777" w:rsidR="00470729" w:rsidRPr="00B126E8" w:rsidRDefault="00470729" w:rsidP="00470729">
      <w:pPr>
        <w:jc w:val="both"/>
      </w:pPr>
      <w:r w:rsidRPr="00B126E8">
        <w:t xml:space="preserve">W oparciu o komunikat Komisji Europejskiej w sprawie </w:t>
      </w:r>
      <w:r w:rsidRPr="00D10FAE">
        <w:rPr>
          <w:i/>
          <w:iCs/>
        </w:rPr>
        <w:t>Advanced Materials for Industrial Leadership</w:t>
      </w:r>
      <w:r w:rsidRPr="00D10FAE">
        <w:rPr>
          <w:sz w:val="16"/>
          <w:szCs w:val="16"/>
        </w:rPr>
        <w:footnoteReference w:id="1"/>
      </w:r>
      <w:r w:rsidRPr="00B126E8">
        <w:t xml:space="preserve">, </w:t>
      </w:r>
      <w:r>
        <w:t>instrument</w:t>
      </w:r>
      <w:r w:rsidRPr="00B126E8">
        <w:t xml:space="preserve"> IPCEI CAM koncentruje się na trzech priorytetowych obszarach wskazanych poniżej, z których każdy dotyczy konkretnych wyzwań i możliwości związanych z materiałami zrównoważonymi. Zakres obejmuje następujące obszary priorytetowe i obszary zastosowań:</w:t>
      </w:r>
    </w:p>
    <w:p w14:paraId="05828152" w14:textId="77777777" w:rsidR="00470729" w:rsidRPr="00B126E8" w:rsidRDefault="00470729" w:rsidP="00470729">
      <w:pPr>
        <w:jc w:val="both"/>
        <w:rPr>
          <w:i/>
          <w:iCs/>
        </w:rPr>
      </w:pPr>
      <w:r w:rsidRPr="00B126E8">
        <w:rPr>
          <w:i/>
          <w:iCs/>
        </w:rPr>
        <w:t xml:space="preserve">Należy zauważyć, że technologie i materiały wymienione </w:t>
      </w:r>
      <w:r>
        <w:rPr>
          <w:i/>
          <w:iCs/>
        </w:rPr>
        <w:t>poniżej</w:t>
      </w:r>
      <w:r w:rsidRPr="00B126E8">
        <w:rPr>
          <w:i/>
          <w:iCs/>
        </w:rPr>
        <w:t xml:space="preserve"> mają charakter wyłącznie ilustracyjny i nie stanowią normatywnego ani z góry określonego opisu ostatecznego zakresu IPCEI CAM. </w:t>
      </w:r>
    </w:p>
    <w:p w14:paraId="7AA7EA4C" w14:textId="77777777" w:rsidR="00470729" w:rsidRPr="00B126E8" w:rsidRDefault="00470729" w:rsidP="00470729">
      <w:pPr>
        <w:jc w:val="both"/>
        <w:rPr>
          <w:i/>
          <w:iCs/>
        </w:rPr>
      </w:pPr>
      <w:r w:rsidRPr="00B126E8">
        <w:rPr>
          <w:i/>
          <w:iCs/>
        </w:rPr>
        <w:t xml:space="preserve">Ponadto obszary priorytetowe mogą ulec ograniczeniu w zależności od wyników konsultacji </w:t>
      </w:r>
      <w:r>
        <w:rPr>
          <w:i/>
          <w:iCs/>
        </w:rPr>
        <w:t xml:space="preserve">pomiędzy krajami członkowskimi </w:t>
      </w:r>
      <w:r w:rsidRPr="00B126E8">
        <w:rPr>
          <w:i/>
          <w:iCs/>
        </w:rPr>
        <w:t>oraz potencjaln</w:t>
      </w:r>
      <w:r>
        <w:rPr>
          <w:i/>
          <w:iCs/>
        </w:rPr>
        <w:t>ego</w:t>
      </w:r>
      <w:r w:rsidRPr="00B126E8">
        <w:rPr>
          <w:i/>
          <w:iCs/>
        </w:rPr>
        <w:t xml:space="preserve"> nakładania się z innymi IPCEI,</w:t>
      </w:r>
      <w:r>
        <w:rPr>
          <w:i/>
          <w:iCs/>
        </w:rPr>
        <w:t xml:space="preserve"> jak np. </w:t>
      </w:r>
      <w:r w:rsidRPr="00B126E8">
        <w:rPr>
          <w:i/>
          <w:iCs/>
        </w:rPr>
        <w:t xml:space="preserve">dotyczący </w:t>
      </w:r>
      <w:r>
        <w:rPr>
          <w:i/>
          <w:iCs/>
        </w:rPr>
        <w:t>Z</w:t>
      </w:r>
      <w:r w:rsidRPr="00B126E8">
        <w:rPr>
          <w:i/>
          <w:iCs/>
        </w:rPr>
        <w:t>aawansowanych technologii półprzewodnikowych</w:t>
      </w:r>
      <w:r>
        <w:rPr>
          <w:i/>
          <w:iCs/>
        </w:rPr>
        <w:t xml:space="preserve"> (IPCEI AST)</w:t>
      </w:r>
      <w:r w:rsidRPr="00B126E8">
        <w:rPr>
          <w:i/>
          <w:iCs/>
        </w:rPr>
        <w:t>.</w:t>
      </w:r>
    </w:p>
    <w:p w14:paraId="16D458B4" w14:textId="77777777" w:rsidR="00470729" w:rsidRPr="003D6462" w:rsidRDefault="00470729" w:rsidP="00470729">
      <w:pPr>
        <w:numPr>
          <w:ilvl w:val="0"/>
          <w:numId w:val="2"/>
        </w:numPr>
        <w:jc w:val="both"/>
      </w:pPr>
      <w:r w:rsidRPr="00435208">
        <w:rPr>
          <w:b/>
          <w:bCs/>
        </w:rPr>
        <w:t>Obszar priorytetowy</w:t>
      </w:r>
      <w:r>
        <w:rPr>
          <w:b/>
          <w:bCs/>
        </w:rPr>
        <w:t>:</w:t>
      </w:r>
      <w:r w:rsidRPr="00435208">
        <w:rPr>
          <w:b/>
          <w:bCs/>
        </w:rPr>
        <w:t xml:space="preserve"> Energia</w:t>
      </w:r>
      <w:r w:rsidRPr="003D6462">
        <w:rPr>
          <w:b/>
          <w:bCs/>
        </w:rPr>
        <w:t xml:space="preserve"> </w:t>
      </w:r>
    </w:p>
    <w:p w14:paraId="6B5BA4DD" w14:textId="7B1DA0E4" w:rsidR="00470729" w:rsidRPr="003D6462" w:rsidRDefault="00470729" w:rsidP="00470729">
      <w:pPr>
        <w:numPr>
          <w:ilvl w:val="0"/>
          <w:numId w:val="3"/>
        </w:numPr>
        <w:jc w:val="both"/>
        <w:rPr>
          <w:b/>
          <w:bCs/>
        </w:rPr>
      </w:pPr>
      <w:r w:rsidRPr="00990857">
        <w:rPr>
          <w:b/>
          <w:bCs/>
        </w:rPr>
        <w:t xml:space="preserve">1.1 Konwersja energii odnawialnej i niskoemisyjnej: </w:t>
      </w:r>
      <w:r w:rsidRPr="00990857">
        <w:t>Ten obszar koncentruje się na zaawansowanych materiałach, które</w:t>
      </w:r>
      <w:r w:rsidRPr="00435208">
        <w:t xml:space="preserve"> </w:t>
      </w:r>
      <w:r w:rsidRPr="00990857">
        <w:t xml:space="preserve">zwiększają trwałość urządzeń, odporność na korozję </w:t>
      </w:r>
      <w:r w:rsidRPr="00990857">
        <w:lastRenderedPageBreak/>
        <w:t>i wydajność konwersji dla odnawialnych źródeł energii, takich jak</w:t>
      </w:r>
      <w:r w:rsidRPr="00435208">
        <w:t xml:space="preserve"> </w:t>
      </w:r>
      <w:r w:rsidRPr="00990857">
        <w:t xml:space="preserve">ogniwa fotowoltaiczne </w:t>
      </w:r>
      <w:r w:rsidR="00450982">
        <w:br/>
      </w:r>
      <w:r w:rsidRPr="00990857">
        <w:t xml:space="preserve">i turbiny wiatrowe. Kluczowe materiały obejmują na przykład stopy odporne na korozję </w:t>
      </w:r>
      <w:r w:rsidR="00450982">
        <w:br/>
      </w:r>
      <w:r w:rsidRPr="00990857">
        <w:t>i</w:t>
      </w:r>
      <w:r w:rsidRPr="00435208">
        <w:t xml:space="preserve"> </w:t>
      </w:r>
      <w:r w:rsidRPr="00990857">
        <w:t>zaawansowane kompozyty dla komponentów turbin wiatrowych w celu zwiększenia odporności w trudnych warunkach.</w:t>
      </w:r>
      <w:r w:rsidRPr="00435208">
        <w:t xml:space="preserve"> </w:t>
      </w:r>
      <w:r w:rsidRPr="00990857">
        <w:t>W ogniwach fotowoltaicznych polimery przewodzące ciepło wspomagają rozpraszanie ciepła, zwiększając wydajność i żywotność paneli</w:t>
      </w:r>
      <w:r w:rsidRPr="003D6462">
        <w:t xml:space="preserve">. </w:t>
      </w:r>
    </w:p>
    <w:p w14:paraId="35D0AA52" w14:textId="3AB23EE5" w:rsidR="00470729" w:rsidRPr="003D6462" w:rsidRDefault="00470729" w:rsidP="00470729">
      <w:pPr>
        <w:numPr>
          <w:ilvl w:val="0"/>
          <w:numId w:val="3"/>
        </w:numPr>
        <w:jc w:val="both"/>
      </w:pPr>
      <w:r w:rsidRPr="00990857">
        <w:rPr>
          <w:b/>
          <w:bCs/>
        </w:rPr>
        <w:t xml:space="preserve">1.2 Systemy magazynowania energii: </w:t>
      </w:r>
      <w:r w:rsidRPr="00990857">
        <w:t>Materiały o obiegu zamkniętym, zrównoważone dla rozwiązań magazynowania</w:t>
      </w:r>
      <w:r>
        <w:t xml:space="preserve"> </w:t>
      </w:r>
      <w:r w:rsidRPr="00990857">
        <w:t xml:space="preserve">energii, takie jak baterie, superkondensatory i technologie termochemiczne, są kluczowe dla tego obszaru. Rozwój obejmuje elektrolity stałe </w:t>
      </w:r>
      <w:r w:rsidR="00450982">
        <w:br/>
      </w:r>
      <w:r w:rsidRPr="00990857">
        <w:t>i materiały anodowe o dużej pojemności (np. anody krzemowe), które zwiększają gęstość energii i cykl życia baterii. Materiały zmiennofazowe (PCM) zapewniają skuteczną regulację termiczną w systemach magazynowania, podczas gdy materiały elektrodowe nadające się do recyklingu ułatwiają odzyskiwanie i ponowne wykorzystanie, co jest zgodne z celami gospodarki o obiegu zamkniętym</w:t>
      </w:r>
      <w:r w:rsidRPr="003D6462">
        <w:t xml:space="preserve">. </w:t>
      </w:r>
    </w:p>
    <w:p w14:paraId="2122E555" w14:textId="77777777" w:rsidR="00470729" w:rsidRPr="003D6462" w:rsidRDefault="00470729" w:rsidP="00470729">
      <w:pPr>
        <w:numPr>
          <w:ilvl w:val="0"/>
          <w:numId w:val="3"/>
        </w:numPr>
        <w:jc w:val="both"/>
      </w:pPr>
      <w:r w:rsidRPr="00933B93">
        <w:rPr>
          <w:b/>
          <w:bCs/>
        </w:rPr>
        <w:t xml:space="preserve">1.3 Sieci dystrybucji i przesyłu energii: </w:t>
      </w:r>
      <w:r w:rsidRPr="00933B93">
        <w:t>Zaawansowane materiały w tym obszarze powinny poprawić wydajność, niezawodność i trwałość infrastruktury dystrybucji energii.</w:t>
      </w:r>
      <w:r>
        <w:t xml:space="preserve"> </w:t>
      </w:r>
      <w:r w:rsidRPr="00933B93">
        <w:t>Przewodzące polimery i nanokompozyty zwiększają przewodność i zmniejszają straty mocy w liniach przesyłowych,</w:t>
      </w:r>
      <w:r>
        <w:t xml:space="preserve"> </w:t>
      </w:r>
      <w:r w:rsidRPr="00933B93">
        <w:t>podczas gdy zaawansowane powłoki chronią elementy sieci przed degradacją środowiskową, zapewniając długoterminową</w:t>
      </w:r>
      <w:r>
        <w:t xml:space="preserve"> </w:t>
      </w:r>
      <w:r w:rsidRPr="00933B93">
        <w:t>trwałość. Ponadto inteligentne materiały</w:t>
      </w:r>
      <w:r w:rsidRPr="003D6462">
        <w:t xml:space="preserve"> </w:t>
      </w:r>
      <w:r w:rsidRPr="00933B93">
        <w:t>reagują na zmiany środowiskowe i pomagają stabilizować pracę sieci w zmiennych warunkach</w:t>
      </w:r>
      <w:r>
        <w:t>.</w:t>
      </w:r>
    </w:p>
    <w:p w14:paraId="52C4A3AD" w14:textId="77777777" w:rsidR="00470729" w:rsidRPr="003D6462" w:rsidRDefault="00470729" w:rsidP="00470729">
      <w:pPr>
        <w:numPr>
          <w:ilvl w:val="0"/>
          <w:numId w:val="3"/>
        </w:numPr>
        <w:jc w:val="both"/>
      </w:pPr>
      <w:r w:rsidRPr="00933B93">
        <w:rPr>
          <w:b/>
          <w:bCs/>
        </w:rPr>
        <w:t xml:space="preserve">1.4 Paliwa odnawialne: </w:t>
      </w:r>
      <w:r w:rsidRPr="00933B93">
        <w:t xml:space="preserve">Zaawansowane katalizatory wspierają produkcję opłacalnych paliw odnawialnych. Katalizatory z metali nieszlachetnych zmniejszają zależność od ograniczonych zasobów, utrzymując jednocześnie wydajność katalityczną, </w:t>
      </w:r>
      <w:r>
        <w:br/>
      </w:r>
      <w:r w:rsidRPr="00933B93">
        <w:t>a zaawansowane membrany ceramiczne w ogniwach paliwowych i elektrolizerach zwiększają wydajność produkcji. Materiały porowate wzmacniają reakcje katalityczne poprzez zwiększenie powierzchni, poprawę wydajności paliwa i obniżenie kosztów</w:t>
      </w:r>
      <w:r w:rsidRPr="003D6462">
        <w:t xml:space="preserve">. </w:t>
      </w:r>
    </w:p>
    <w:p w14:paraId="5CC80DB8" w14:textId="77777777" w:rsidR="00470729" w:rsidRPr="003D6462" w:rsidRDefault="00470729" w:rsidP="00470729">
      <w:pPr>
        <w:numPr>
          <w:ilvl w:val="0"/>
          <w:numId w:val="2"/>
        </w:numPr>
        <w:jc w:val="both"/>
      </w:pPr>
      <w:r w:rsidRPr="00435208">
        <w:rPr>
          <w:b/>
          <w:bCs/>
        </w:rPr>
        <w:t>Obszar priorytetowy</w:t>
      </w:r>
      <w:r>
        <w:rPr>
          <w:b/>
          <w:bCs/>
        </w:rPr>
        <w:t>:</w:t>
      </w:r>
      <w:r w:rsidRPr="00435208">
        <w:rPr>
          <w:b/>
          <w:bCs/>
        </w:rPr>
        <w:t xml:space="preserve"> Mobilność</w:t>
      </w:r>
    </w:p>
    <w:p w14:paraId="01C33EF0" w14:textId="3E97CEA8" w:rsidR="00470729" w:rsidRPr="003D6462" w:rsidRDefault="00470729" w:rsidP="00470729">
      <w:pPr>
        <w:numPr>
          <w:ilvl w:val="0"/>
          <w:numId w:val="4"/>
        </w:numPr>
        <w:jc w:val="both"/>
      </w:pPr>
      <w:r w:rsidRPr="005F5ADF">
        <w:rPr>
          <w:b/>
          <w:bCs/>
        </w:rPr>
        <w:t xml:space="preserve">2.1 Magazynowanie energii i paliwa alternatywne: </w:t>
      </w:r>
      <w:r w:rsidRPr="005F5ADF">
        <w:t>Zaawansowane materiały do wysokowydajnych baterii i ogniw</w:t>
      </w:r>
      <w:r>
        <w:t xml:space="preserve"> </w:t>
      </w:r>
      <w:r w:rsidRPr="005F5ADF">
        <w:t>paliwowych są dostosowane do zastosowań transportowych, z ulepszeniami w zakresie bezpieczeństwa, gęstości energii</w:t>
      </w:r>
      <w:r>
        <w:t xml:space="preserve"> </w:t>
      </w:r>
      <w:r w:rsidRPr="005F5ADF">
        <w:t xml:space="preserve">i możliwości recyklingu. Anody wzbogacone grafenem i elektrolity stałe zwiększają gęstość energii </w:t>
      </w:r>
      <w:r w:rsidR="00450982">
        <w:br/>
      </w:r>
      <w:r w:rsidRPr="005F5ADF">
        <w:t>i stabilność</w:t>
      </w:r>
      <w:r>
        <w:t xml:space="preserve"> </w:t>
      </w:r>
      <w:r w:rsidRPr="005F5ADF">
        <w:t>zaawansowanych baterii. Elementy ogniw paliwowych wykonane ze stopów odpornych na korozję i katalizatorów innych</w:t>
      </w:r>
      <w:r>
        <w:t xml:space="preserve"> </w:t>
      </w:r>
      <w:r w:rsidRPr="005F5ADF">
        <w:t>niż platynowe obniżają koszty i zwiększają trwałość, podczas gdy termicznie stabilne kompozyty zapewniają stałą</w:t>
      </w:r>
      <w:r>
        <w:t xml:space="preserve"> </w:t>
      </w:r>
      <w:r w:rsidRPr="005F5ADF">
        <w:t>wydajność baterii w pojazdach elektrycznych i hybrydowych</w:t>
      </w:r>
      <w:r w:rsidRPr="003D6462">
        <w:t xml:space="preserve">. </w:t>
      </w:r>
    </w:p>
    <w:p w14:paraId="3A5230AA" w14:textId="77777777" w:rsidR="00470729" w:rsidRDefault="00470729" w:rsidP="00470729">
      <w:pPr>
        <w:numPr>
          <w:ilvl w:val="0"/>
          <w:numId w:val="4"/>
        </w:numPr>
        <w:jc w:val="both"/>
      </w:pPr>
      <w:r w:rsidRPr="005F5ADF">
        <w:rPr>
          <w:b/>
          <w:bCs/>
        </w:rPr>
        <w:t xml:space="preserve">2.2 Lekkie, wysokowydajne materiały: </w:t>
      </w:r>
      <w:r w:rsidRPr="005F5ADF">
        <w:t>Lekkie, trwałe materiały są niezbędne do zmniejszenia zużycia energii i zwiększenia bezpieczeństwa pojazdu. Włókno węglowe</w:t>
      </w:r>
      <w:r>
        <w:t>,</w:t>
      </w:r>
      <w:r w:rsidRPr="003D6462">
        <w:t xml:space="preserve"> </w:t>
      </w:r>
      <w:r w:rsidRPr="005F5ADF">
        <w:t>kompozyty i stopy aluminium są używane do lekkich rozwiązań konstrukcyjnych, zwiększając wydajność paliwową i</w:t>
      </w:r>
      <w:r>
        <w:t xml:space="preserve"> </w:t>
      </w:r>
      <w:r w:rsidRPr="005F5ADF">
        <w:t>redukując emisje. Polimery o wysokiej wytrzymałości zastępują tradycyjne metale w elementach niekonstrukcyjnych, a</w:t>
      </w:r>
      <w:r>
        <w:t xml:space="preserve"> </w:t>
      </w:r>
      <w:r w:rsidRPr="005F5ADF">
        <w:t>materiały hybrydowe łączące metale i polimery zwiększają wytrzymałość i elastyczność w krytycznych elementach</w:t>
      </w:r>
      <w:r>
        <w:t xml:space="preserve"> </w:t>
      </w:r>
      <w:r w:rsidRPr="005F5ADF">
        <w:t>samochodowych.</w:t>
      </w:r>
    </w:p>
    <w:p w14:paraId="7E21BB6E" w14:textId="6323989A" w:rsidR="00470729" w:rsidRPr="00435208" w:rsidRDefault="00470729" w:rsidP="00470729">
      <w:pPr>
        <w:numPr>
          <w:ilvl w:val="0"/>
          <w:numId w:val="4"/>
        </w:numPr>
        <w:jc w:val="both"/>
      </w:pPr>
      <w:r w:rsidRPr="00435208">
        <w:rPr>
          <w:b/>
          <w:bCs/>
        </w:rPr>
        <w:t xml:space="preserve">2.3 Trwałość i ochrona środków transportu i infrastruktury: </w:t>
      </w:r>
      <w:r w:rsidRPr="00435208">
        <w:t xml:space="preserve">Powłoki, farby i hybrydowe procesy produkcyjne w tym obszarze zwiększają trwałość i zmniejszają zużycie paliwa. </w:t>
      </w:r>
      <w:r w:rsidRPr="00435208">
        <w:lastRenderedPageBreak/>
        <w:t xml:space="preserve">Powłoki antykorozyjne i farby odporne na promieniowanie UV wydłużają żywotność pojazdów i infrastruktury. Samonaprawiające się materiały w powłokach pomagają naprawiać drobne uszkodzenia i zmniejszają konserwację, podczas gdy ceramika </w:t>
      </w:r>
      <w:r w:rsidR="00450982">
        <w:br/>
      </w:r>
      <w:r w:rsidRPr="00435208">
        <w:t>o wysokiej odporności na zużycie i powłoki ochronne dla elementów silnika zmniejszają tarcie i zużycie paliwa w silnikach spalinowych.</w:t>
      </w:r>
    </w:p>
    <w:p w14:paraId="6F205B5A" w14:textId="77777777" w:rsidR="00470729" w:rsidRPr="003D6462" w:rsidRDefault="00470729" w:rsidP="00470729">
      <w:pPr>
        <w:numPr>
          <w:ilvl w:val="0"/>
          <w:numId w:val="2"/>
        </w:numPr>
        <w:jc w:val="both"/>
      </w:pPr>
      <w:r>
        <w:rPr>
          <w:b/>
          <w:bCs/>
        </w:rPr>
        <w:t xml:space="preserve">Obszar priorytetowy: Elektronika </w:t>
      </w:r>
    </w:p>
    <w:p w14:paraId="475D7738" w14:textId="77777777" w:rsidR="00470729" w:rsidRPr="003D6462" w:rsidRDefault="00470729" w:rsidP="00470729">
      <w:pPr>
        <w:numPr>
          <w:ilvl w:val="0"/>
          <w:numId w:val="5"/>
        </w:numPr>
        <w:jc w:val="both"/>
      </w:pPr>
      <w:r w:rsidRPr="003D6462">
        <w:rPr>
          <w:b/>
          <w:bCs/>
        </w:rPr>
        <w:t xml:space="preserve">3.1 </w:t>
      </w:r>
      <w:r w:rsidRPr="00F47A20">
        <w:rPr>
          <w:b/>
          <w:bCs/>
        </w:rPr>
        <w:t>Elektronika stosowana</w:t>
      </w:r>
      <w:r w:rsidRPr="003D6462">
        <w:t xml:space="preserve">: </w:t>
      </w:r>
      <w:r w:rsidRPr="00F47A20">
        <w:t>Ten obszar priorytetowo traktuje</w:t>
      </w:r>
      <w:r>
        <w:t xml:space="preserve"> </w:t>
      </w:r>
      <w:r w:rsidRPr="00F47A20">
        <w:t>materiały, które poprawiają efektywność energetyczną, trwałość (tj. długowieczność, wytrzymałość na ściskanie</w:t>
      </w:r>
      <w:r>
        <w:t xml:space="preserve"> </w:t>
      </w:r>
      <w:r w:rsidRPr="00F47A20">
        <w:t>itp.), lekkość i funkcjonalność w komponentach elektronicznych. Półprzewodniki z azotku galu (GaN) i węglika</w:t>
      </w:r>
      <w:r>
        <w:t xml:space="preserve"> </w:t>
      </w:r>
      <w:r w:rsidRPr="00F47A20">
        <w:t>krzemu (SiC) są niezbędne do zarządzania ciepłem i zwiększania efektywności energetycznej w elektronice mocy.</w:t>
      </w:r>
      <w:r>
        <w:t xml:space="preserve"> </w:t>
      </w:r>
      <w:r w:rsidRPr="00F47A20">
        <w:t>Elastyczne polimery przewodzące obsługują nowe formaty urządzeń, takie jak elektronika noszona na ciele i</w:t>
      </w:r>
      <w:r>
        <w:t xml:space="preserve"> </w:t>
      </w:r>
      <w:r w:rsidRPr="00F47A20">
        <w:t>elastyczne wyświetlacze, podczas gdy materiały pamięci zmiennofazowej umożliwiają szybsze przechowywanie</w:t>
      </w:r>
      <w:r>
        <w:t xml:space="preserve"> </w:t>
      </w:r>
      <w:r w:rsidRPr="00F47A20">
        <w:t>danych przy niższym zapotrzebowaniu na energię, wspierając energooszczędne komputery</w:t>
      </w:r>
      <w:r>
        <w:t>.</w:t>
      </w:r>
    </w:p>
    <w:p w14:paraId="67B36BFE" w14:textId="55DA9BCC" w:rsidR="00470729" w:rsidRPr="003D6462" w:rsidRDefault="00470729" w:rsidP="00470729">
      <w:pPr>
        <w:numPr>
          <w:ilvl w:val="0"/>
          <w:numId w:val="5"/>
        </w:numPr>
        <w:jc w:val="both"/>
      </w:pPr>
      <w:r>
        <w:rPr>
          <w:b/>
          <w:bCs/>
        </w:rPr>
        <w:t xml:space="preserve">3.2 </w:t>
      </w:r>
      <w:r w:rsidRPr="00F47A20">
        <w:rPr>
          <w:b/>
          <w:bCs/>
        </w:rPr>
        <w:t>Produkcja chipów, pakowanie i najnowocześniejsza elektronika</w:t>
      </w:r>
      <w:r>
        <w:t xml:space="preserve">: </w:t>
      </w:r>
      <w:r w:rsidRPr="00F47A20">
        <w:t>Ten obszar kładzie nacisk na zrównoważone materiały na wafle, podłoża i opakowania, które promują</w:t>
      </w:r>
      <w:r>
        <w:t xml:space="preserve"> </w:t>
      </w:r>
      <w:r w:rsidRPr="00F47A20">
        <w:t xml:space="preserve">praktyki cyrkularne w produkcji chipów. Podłoża nadające się do recyklingu </w:t>
      </w:r>
      <w:r w:rsidR="00450982">
        <w:br/>
      </w:r>
      <w:r w:rsidRPr="00F47A20">
        <w:t>i niskoenergetyczne (takie jak</w:t>
      </w:r>
      <w:r>
        <w:t xml:space="preserve"> </w:t>
      </w:r>
      <w:r w:rsidRPr="00F47A20">
        <w:t>bioplastiki lub podłoża z poddanego recyklingowi metalu) zmniejszają wpływ na środowisko, a technologie</w:t>
      </w:r>
      <w:r>
        <w:t xml:space="preserve"> </w:t>
      </w:r>
      <w:r w:rsidRPr="00F47A20">
        <w:t>integracji 3D w opakowaniach półprzewodników minimalizują zużycie materiałów, jednocześnie poprawiając</w:t>
      </w:r>
      <w:r>
        <w:t xml:space="preserve"> </w:t>
      </w:r>
      <w:r w:rsidRPr="00F47A20">
        <w:t xml:space="preserve">wydajność urządzeń. Zaawansowane materiały do enkapsulacji chronią chipy przed wilgocią </w:t>
      </w:r>
      <w:r w:rsidR="00450982">
        <w:br/>
      </w:r>
      <w:r w:rsidRPr="00F47A20">
        <w:t>i uszkodzeniami</w:t>
      </w:r>
      <w:r>
        <w:t xml:space="preserve"> </w:t>
      </w:r>
      <w:r w:rsidRPr="00F47A20">
        <w:t>środowiskowymi, wydłużając żywotność urządzeń i wspierając podejście cyrkularne.</w:t>
      </w:r>
    </w:p>
    <w:p w14:paraId="6942E881" w14:textId="77777777" w:rsidR="00470729" w:rsidRPr="003D6462" w:rsidRDefault="00470729" w:rsidP="00470729">
      <w:pPr>
        <w:jc w:val="both"/>
        <w:rPr>
          <w:b/>
        </w:rPr>
      </w:pPr>
      <w:r w:rsidRPr="00933B93">
        <w:rPr>
          <w:b/>
        </w:rPr>
        <w:t>Podstawowe rodzaje materiałów (bez ograniczeń)</w:t>
      </w:r>
      <w:r w:rsidRPr="003D6462">
        <w:rPr>
          <w:b/>
          <w:vertAlign w:val="superscript"/>
          <w:lang w:val="en-GB"/>
        </w:rPr>
        <w:footnoteReference w:id="2"/>
      </w:r>
    </w:p>
    <w:p w14:paraId="46DE9905" w14:textId="77777777" w:rsidR="00470729" w:rsidRPr="00933B93" w:rsidRDefault="00470729" w:rsidP="00470729">
      <w:pPr>
        <w:spacing w:after="0"/>
        <w:jc w:val="both"/>
      </w:pPr>
      <w:r w:rsidRPr="00933B93">
        <w:t>•    Metale i stopy</w:t>
      </w:r>
    </w:p>
    <w:p w14:paraId="64A12DD4" w14:textId="77777777" w:rsidR="00470729" w:rsidRPr="00933B93" w:rsidRDefault="00470729" w:rsidP="00470729">
      <w:pPr>
        <w:spacing w:after="0"/>
        <w:jc w:val="both"/>
      </w:pPr>
      <w:r w:rsidRPr="00933B93">
        <w:t>•    Polimery</w:t>
      </w:r>
    </w:p>
    <w:p w14:paraId="16681621" w14:textId="77777777" w:rsidR="00470729" w:rsidRPr="00933B93" w:rsidRDefault="00470729" w:rsidP="00470729">
      <w:pPr>
        <w:spacing w:after="0"/>
        <w:jc w:val="both"/>
      </w:pPr>
      <w:r w:rsidRPr="00933B93">
        <w:t>•    Ceramika</w:t>
      </w:r>
    </w:p>
    <w:p w14:paraId="3225A9FC" w14:textId="77777777" w:rsidR="00470729" w:rsidRPr="00933B93" w:rsidRDefault="00470729" w:rsidP="00470729">
      <w:pPr>
        <w:spacing w:after="0"/>
        <w:jc w:val="both"/>
      </w:pPr>
      <w:r w:rsidRPr="00933B93">
        <w:t>•    Kompozyty</w:t>
      </w:r>
    </w:p>
    <w:p w14:paraId="69F6F2A6" w14:textId="77777777" w:rsidR="00470729" w:rsidRPr="00933B93" w:rsidRDefault="00470729" w:rsidP="00470729">
      <w:pPr>
        <w:spacing w:after="0"/>
        <w:jc w:val="both"/>
      </w:pPr>
      <w:r w:rsidRPr="00933B93">
        <w:t>•    Nanoinżynieria</w:t>
      </w:r>
    </w:p>
    <w:p w14:paraId="41C7BCCC" w14:textId="77777777" w:rsidR="00470729" w:rsidRPr="00933B93" w:rsidRDefault="00470729" w:rsidP="00470729">
      <w:pPr>
        <w:spacing w:after="0"/>
        <w:jc w:val="both"/>
      </w:pPr>
      <w:r w:rsidRPr="00933B93">
        <w:t>•    Materiały inteligentne</w:t>
      </w:r>
    </w:p>
    <w:p w14:paraId="26A2A691" w14:textId="77777777" w:rsidR="00470729" w:rsidRPr="00933B93" w:rsidRDefault="00470729" w:rsidP="00470729">
      <w:pPr>
        <w:spacing w:after="0"/>
        <w:jc w:val="both"/>
      </w:pPr>
      <w:r w:rsidRPr="00933B93">
        <w:t>•    Materiały hybrydowe</w:t>
      </w:r>
    </w:p>
    <w:p w14:paraId="48DCD4F4" w14:textId="77777777" w:rsidR="00470729" w:rsidRPr="00933B93" w:rsidRDefault="00470729" w:rsidP="00470729">
      <w:pPr>
        <w:spacing w:after="0"/>
        <w:jc w:val="both"/>
      </w:pPr>
      <w:r w:rsidRPr="00933B93">
        <w:t>•    Półprzewodniki</w:t>
      </w:r>
    </w:p>
    <w:p w14:paraId="5AE26B08" w14:textId="77777777" w:rsidR="00470729" w:rsidRPr="001209D5" w:rsidRDefault="00470729" w:rsidP="00470729">
      <w:pPr>
        <w:spacing w:after="0"/>
        <w:jc w:val="both"/>
      </w:pPr>
      <w:r w:rsidRPr="00933B93">
        <w:rPr>
          <w:lang w:val="en-GB"/>
        </w:rPr>
        <w:t>•    Inne</w:t>
      </w:r>
    </w:p>
    <w:p w14:paraId="6654088D" w14:textId="77777777" w:rsidR="006F6F99" w:rsidRDefault="006F6F99"/>
    <w:sectPr w:rsidR="006F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01AD" w14:textId="77777777" w:rsidR="0009456D" w:rsidRDefault="0009456D" w:rsidP="00470729">
      <w:pPr>
        <w:spacing w:after="0" w:line="240" w:lineRule="auto"/>
      </w:pPr>
      <w:r>
        <w:separator/>
      </w:r>
    </w:p>
  </w:endnote>
  <w:endnote w:type="continuationSeparator" w:id="0">
    <w:p w14:paraId="29932089" w14:textId="77777777" w:rsidR="0009456D" w:rsidRDefault="0009456D" w:rsidP="0047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1A15" w14:textId="77777777" w:rsidR="0009456D" w:rsidRDefault="0009456D" w:rsidP="00470729">
      <w:pPr>
        <w:spacing w:after="0" w:line="240" w:lineRule="auto"/>
      </w:pPr>
      <w:r>
        <w:separator/>
      </w:r>
    </w:p>
  </w:footnote>
  <w:footnote w:type="continuationSeparator" w:id="0">
    <w:p w14:paraId="7BD2BB2B" w14:textId="77777777" w:rsidR="0009456D" w:rsidRDefault="0009456D" w:rsidP="00470729">
      <w:pPr>
        <w:spacing w:after="0" w:line="240" w:lineRule="auto"/>
      </w:pPr>
      <w:r>
        <w:continuationSeparator/>
      </w:r>
    </w:p>
  </w:footnote>
  <w:footnote w:id="1">
    <w:p w14:paraId="3B30FC4E" w14:textId="77777777" w:rsidR="00470729" w:rsidRDefault="00470729" w:rsidP="00470729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rPr>
          <w:lang w:val="en-GB"/>
        </w:rPr>
        <w:t xml:space="preserve"> European Commission, “Advanced Materials for Industrial Leadership [COM (2024) 98 final],” 2024.</w:t>
      </w:r>
    </w:p>
  </w:footnote>
  <w:footnote w:id="2">
    <w:p w14:paraId="614C137A" w14:textId="77777777" w:rsidR="00470729" w:rsidRDefault="00470729" w:rsidP="00470729">
      <w:pPr>
        <w:pStyle w:val="Tekstprzypisudolnego"/>
        <w:rPr>
          <w:lang w:val="en-IE"/>
        </w:rPr>
      </w:pPr>
      <w:r>
        <w:rPr>
          <w:rStyle w:val="Odwoanieprzypisudolnego"/>
        </w:rPr>
        <w:footnoteRef/>
      </w:r>
      <w:r>
        <w:rPr>
          <w:lang w:val="en-IE"/>
        </w:rPr>
        <w:t xml:space="preserve"> Metals and alloys, polymers, ceramics and composites are relevant categories to the extent that they are part of an advanced material.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206CE"/>
    <w:multiLevelType w:val="multilevel"/>
    <w:tmpl w:val="95AE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138A4"/>
    <w:multiLevelType w:val="multilevel"/>
    <w:tmpl w:val="D1983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8A5D65"/>
    <w:multiLevelType w:val="hybridMultilevel"/>
    <w:tmpl w:val="B2DC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4091"/>
    <w:multiLevelType w:val="hybridMultilevel"/>
    <w:tmpl w:val="97C2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A4616"/>
    <w:multiLevelType w:val="hybridMultilevel"/>
    <w:tmpl w:val="1E40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57252">
    <w:abstractNumId w:val="0"/>
  </w:num>
  <w:num w:numId="2" w16cid:durableId="740718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587164">
    <w:abstractNumId w:val="2"/>
  </w:num>
  <w:num w:numId="4" w16cid:durableId="1632901530">
    <w:abstractNumId w:val="4"/>
  </w:num>
  <w:num w:numId="5" w16cid:durableId="175816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29"/>
    <w:rsid w:val="0009456D"/>
    <w:rsid w:val="000B31D7"/>
    <w:rsid w:val="001212E5"/>
    <w:rsid w:val="003E6BCB"/>
    <w:rsid w:val="004402EB"/>
    <w:rsid w:val="00450982"/>
    <w:rsid w:val="00470729"/>
    <w:rsid w:val="006F6F99"/>
    <w:rsid w:val="00790788"/>
    <w:rsid w:val="00B83290"/>
    <w:rsid w:val="00D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D50E"/>
  <w15:chartTrackingRefBased/>
  <w15:docId w15:val="{138C225B-C78B-494A-A8C2-21335E9E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29"/>
  </w:style>
  <w:style w:type="paragraph" w:styleId="Nagwek1">
    <w:name w:val="heading 1"/>
    <w:basedOn w:val="Normalny"/>
    <w:next w:val="Normalny"/>
    <w:link w:val="Nagwek1Znak"/>
    <w:uiPriority w:val="9"/>
    <w:qFormat/>
    <w:rsid w:val="00470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7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7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7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7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72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729"/>
    <w:pPr>
      <w:spacing w:after="0" w:line="240" w:lineRule="auto"/>
    </w:pPr>
    <w:rPr>
      <w:kern w:val="0"/>
      <w:sz w:val="20"/>
      <w:szCs w:val="20"/>
      <w:lang w:val="de-D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729"/>
    <w:rPr>
      <w:kern w:val="0"/>
      <w:sz w:val="20"/>
      <w:szCs w:val="20"/>
      <w:lang w:val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6930</Characters>
  <Application>Microsoft Office Word</Application>
  <DocSecurity>0</DocSecurity>
  <Lines>57</Lines>
  <Paragraphs>16</Paragraphs>
  <ScaleCrop>false</ScaleCrop>
  <Company>MRR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Błaszczykowski Robert</dc:creator>
  <cp:keywords/>
  <dc:description/>
  <cp:lastModifiedBy>Modrzejewska Monika</cp:lastModifiedBy>
  <cp:revision>2</cp:revision>
  <dcterms:created xsi:type="dcterms:W3CDTF">2025-06-23T12:26:00Z</dcterms:created>
  <dcterms:modified xsi:type="dcterms:W3CDTF">2025-06-23T12:26:00Z</dcterms:modified>
</cp:coreProperties>
</file>